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B9A" w14:textId="1D22DE0A" w:rsidR="003039B3" w:rsidRPr="003039B3" w:rsidRDefault="003039B3" w:rsidP="003039B3">
      <w:pPr>
        <w:jc w:val="center"/>
        <w:rPr>
          <w:rFonts w:ascii="Arial" w:hAnsi="Arial" w:cs="Arial"/>
          <w:b/>
          <w:bCs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04092A"/>
          <w:sz w:val="30"/>
          <w:szCs w:val="30"/>
          <w:shd w:val="clear" w:color="auto" w:fill="FFFFFF"/>
        </w:rPr>
        <w:t>Сотрудники Контрольно-счетной палаты Талдомского городского округа прошли обучение по программе профессиональной переподготовки</w:t>
      </w:r>
      <w:r w:rsidR="00965595">
        <w:rPr>
          <w:rFonts w:ascii="Arial" w:hAnsi="Arial" w:cs="Arial"/>
          <w:b/>
          <w:bCs/>
          <w:color w:val="04092A"/>
          <w:sz w:val="30"/>
          <w:szCs w:val="30"/>
          <w:shd w:val="clear" w:color="auto" w:fill="FFFFFF"/>
        </w:rPr>
        <w:t xml:space="preserve"> в сфере закупок</w:t>
      </w:r>
      <w:bookmarkStart w:id="0" w:name="_GoBack"/>
      <w:bookmarkEnd w:id="0"/>
    </w:p>
    <w:p w14:paraId="605FA7B8" w14:textId="77777777" w:rsidR="003039B3" w:rsidRDefault="003039B3" w:rsidP="003039B3">
      <w:pPr>
        <w:jc w:val="center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</w:p>
    <w:p w14:paraId="20585CD9" w14:textId="1A739D20" w:rsidR="003039B3" w:rsidRDefault="003039B3" w:rsidP="003039B3">
      <w:pPr>
        <w:jc w:val="center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04092A"/>
          <w:sz w:val="30"/>
          <w:szCs w:val="30"/>
          <w:shd w:val="clear" w:color="auto" w:fill="FFFFFF"/>
        </w:rPr>
        <w:drawing>
          <wp:inline distT="0" distB="0" distL="0" distR="0" wp14:anchorId="72057E94" wp14:editId="2F36346B">
            <wp:extent cx="5019675" cy="33464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4E186" w14:textId="56B2B1B5" w:rsidR="00A022E9" w:rsidRPr="00A022E9" w:rsidRDefault="004E3B9F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Сотрудники Контрольно-счетной палаты Талдомского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городского округа</w:t>
      </w:r>
      <w:r w:rsid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Московской области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прош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ли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обучение по программе профессиональной переподготовки «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Государственные, муниципальные и корпоративные закупки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» в объеме 300 академических часов.</w:t>
      </w:r>
      <w:r>
        <w:rPr>
          <w:rFonts w:ascii="Arial" w:hAnsi="Arial" w:cs="Arial"/>
          <w:color w:val="04092A"/>
          <w:sz w:val="30"/>
          <w:szCs w:val="30"/>
        </w:rPr>
        <w:br/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В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образовательную программу профессиональной переподготовки включены следующие темы:</w:t>
      </w:r>
      <w:r>
        <w:rPr>
          <w:rFonts w:ascii="Arial" w:hAnsi="Arial" w:cs="Arial"/>
          <w:color w:val="04092A"/>
          <w:sz w:val="30"/>
          <w:szCs w:val="30"/>
        </w:rPr>
        <w:br/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-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</w:t>
      </w:r>
      <w:r w:rsidRPr="004E3B9F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Осуществление закупок товаров, работ, услуг для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пальных нужд»;</w:t>
      </w:r>
      <w:r>
        <w:rPr>
          <w:rFonts w:ascii="Arial" w:hAnsi="Arial" w:cs="Arial"/>
          <w:color w:val="04092A"/>
          <w:sz w:val="30"/>
          <w:szCs w:val="30"/>
        </w:rPr>
        <w:br/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4E3B9F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Осуществление закупок товаров, работ, услуг в соответствии с Федеральным законом от 18.07.2011 № 223-ФЗ «О закупках товаров, работ, услуг отдельными видами юридических лиц»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4092A"/>
          <w:sz w:val="30"/>
          <w:szCs w:val="30"/>
        </w:rPr>
        <w:br/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="00A022E9"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Основы гражданского, бюджетного, земельного, трудового и административного законодательства</w:t>
      </w:r>
      <w:r w:rsid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117C8336" w14:textId="63C6A804" w:rsidR="00A022E9" w:rsidRP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Основы антимонопольного законодательства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70C26490" w14:textId="3B1E5A13" w:rsidR="00A022E9" w:rsidRP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lastRenderedPageBreak/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Основы бухгалтерского учета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6C98E01F" w14:textId="567712F2" w:rsidR="00A022E9" w:rsidRP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Экономические основы ценообразования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3FDAF02F" w14:textId="5BA6AF2B" w:rsidR="00A022E9" w:rsidRP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Основы информатики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4D3D1CB5" w14:textId="0431197D" w:rsidR="00A022E9" w:rsidRP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Основы статистики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;</w:t>
      </w:r>
    </w:p>
    <w:p w14:paraId="30301688" w14:textId="4D85AB36" w:rsidR="00A022E9" w:rsidRDefault="00A022E9" w:rsidP="003039B3">
      <w:pPr>
        <w:jc w:val="both"/>
        <w:rPr>
          <w:rFonts w:ascii="Arial" w:hAnsi="Arial" w:cs="Arial"/>
          <w:color w:val="04092A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- </w:t>
      </w:r>
      <w:r w:rsidRP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>Этика делового общения и правила ведения переговоров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.</w:t>
      </w:r>
    </w:p>
    <w:p w14:paraId="07BC8E29" w14:textId="74FE05EF" w:rsidR="006A3FB0" w:rsidRDefault="004E3B9F" w:rsidP="003039B3">
      <w:pPr>
        <w:jc w:val="both"/>
      </w:pP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После освоения образовательной программы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, прохождения стажировки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 и успешно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й сдачи 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итоговой аттестации </w:t>
      </w:r>
      <w:r w:rsidR="00A022E9">
        <w:rPr>
          <w:rFonts w:ascii="Arial" w:hAnsi="Arial" w:cs="Arial"/>
          <w:color w:val="04092A"/>
          <w:sz w:val="30"/>
          <w:szCs w:val="30"/>
          <w:shd w:val="clear" w:color="auto" w:fill="FFFFFF"/>
        </w:rPr>
        <w:t xml:space="preserve">сотрудникам Контрольно-счетной палаты Талдомского городского округа </w:t>
      </w:r>
      <w:r>
        <w:rPr>
          <w:rFonts w:ascii="Arial" w:hAnsi="Arial" w:cs="Arial"/>
          <w:color w:val="04092A"/>
          <w:sz w:val="30"/>
          <w:szCs w:val="30"/>
          <w:shd w:val="clear" w:color="auto" w:fill="FFFFFF"/>
        </w:rPr>
        <w:t>выдан диплом о профессиональной переподготовке.</w:t>
      </w:r>
    </w:p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0"/>
    <w:rsid w:val="003039B3"/>
    <w:rsid w:val="004E3B9F"/>
    <w:rsid w:val="006A3FB0"/>
    <w:rsid w:val="00965595"/>
    <w:rsid w:val="00A022E9"/>
    <w:rsid w:val="00A57970"/>
    <w:rsid w:val="00A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ED6"/>
  <w15:chartTrackingRefBased/>
  <w15:docId w15:val="{1BFECD5B-08C1-4A5E-AADB-94261BA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2021-08-17T05:40:00Z</dcterms:created>
  <dcterms:modified xsi:type="dcterms:W3CDTF">2021-08-17T06:01:00Z</dcterms:modified>
</cp:coreProperties>
</file>